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81" w:rsidRPr="004261A4" w:rsidRDefault="00D21E52" w:rsidP="004261A4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4261A4">
        <w:rPr>
          <w:sz w:val="32"/>
          <w:szCs w:val="32"/>
          <w:u w:val="single"/>
        </w:rPr>
        <w:t xml:space="preserve">POJIŠTĚNÍ </w:t>
      </w:r>
      <w:r w:rsidR="0073703C" w:rsidRPr="004261A4">
        <w:rPr>
          <w:sz w:val="32"/>
          <w:szCs w:val="32"/>
          <w:u w:val="single"/>
        </w:rPr>
        <w:t>ODPOVĚDNOSTI ZA ŠKODU</w:t>
      </w:r>
    </w:p>
    <w:p w:rsidR="00CC1902" w:rsidRPr="004261A4" w:rsidRDefault="00A66876" w:rsidP="00720235">
      <w:pPr>
        <w:pStyle w:val="PNadpis3"/>
        <w:numPr>
          <w:ilvl w:val="0"/>
          <w:numId w:val="0"/>
        </w:numPr>
        <w:spacing w:before="240"/>
        <w:ind w:left="680" w:hanging="680"/>
        <w:rPr>
          <w:sz w:val="24"/>
          <w:szCs w:val="24"/>
          <w:u w:val="single"/>
        </w:rPr>
      </w:pPr>
      <w:r w:rsidRPr="004261A4">
        <w:rPr>
          <w:sz w:val="24"/>
          <w:szCs w:val="24"/>
          <w:u w:val="single"/>
        </w:rPr>
        <w:t xml:space="preserve">Pojištění </w:t>
      </w:r>
      <w:r w:rsidR="0073703C" w:rsidRPr="004261A4">
        <w:rPr>
          <w:sz w:val="24"/>
          <w:szCs w:val="24"/>
          <w:u w:val="single"/>
        </w:rPr>
        <w:t>obecné odpovědnosti za škody</w:t>
      </w:r>
      <w:r w:rsidR="00BE513E" w:rsidRPr="004261A4">
        <w:rPr>
          <w:sz w:val="24"/>
          <w:szCs w:val="24"/>
          <w:u w:val="single"/>
        </w:rPr>
        <w:t>, vč. odpovědnosti za výrobek</w:t>
      </w:r>
    </w:p>
    <w:p w:rsidR="0073703C" w:rsidRDefault="0073703C" w:rsidP="0073703C">
      <w:pPr>
        <w:pStyle w:val="PNadpis3"/>
        <w:numPr>
          <w:ilvl w:val="0"/>
          <w:numId w:val="0"/>
        </w:numPr>
        <w:ind w:left="680" w:hanging="680"/>
        <w:rPr>
          <w:lang w:val="la-Latn"/>
        </w:rPr>
      </w:pPr>
      <w:r>
        <w:rPr>
          <w:lang w:val="la-Latn"/>
        </w:rPr>
        <w:t>Pojištěná činnost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8"/>
        <w:gridCol w:w="7395"/>
        <w:gridCol w:w="1814"/>
        <w:gridCol w:w="39"/>
      </w:tblGrid>
      <w:tr w:rsidR="0073703C" w:rsidRPr="0073703C" w:rsidTr="0073703C">
        <w:tc>
          <w:tcPr>
            <w:tcW w:w="5000" w:type="pct"/>
            <w:gridSpan w:val="4"/>
          </w:tcPr>
          <w:p w:rsidR="0043055D" w:rsidRDefault="0043055D" w:rsidP="0073703C">
            <w:r>
              <w:t>Obecná provozní odpovědnost za škodu způsobenou jiné osobě v souvislosti s činností nebo vztahem pojištěného vyplývající ze zákona o obecním zřízení v platném znění (zejména z existence a držby obecního majetku a z výkonu práv a povinností pojištěného v rámci jeho samostatné a přenesené působnosti) a souvisejících právních předpisů:</w:t>
            </w:r>
          </w:p>
          <w:p w:rsidR="0043055D" w:rsidRPr="0043055D" w:rsidRDefault="0043055D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Zákon č.128/2000 Sb. o obcích, ve znění pozdějších předpisů</w:t>
            </w:r>
          </w:p>
          <w:p w:rsidR="0043055D" w:rsidRPr="0043055D" w:rsidRDefault="0043055D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Zákon č.553/1991 Sb. o obecní policii, ve znění pozdějších předpisů</w:t>
            </w:r>
          </w:p>
          <w:p w:rsidR="0043055D" w:rsidRPr="00DA652B" w:rsidRDefault="0043055D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Zákon č.108/2006 Sb. o sociálních službách, ve znění pozdějších předpisů</w:t>
            </w:r>
          </w:p>
          <w:p w:rsidR="00DA652B" w:rsidRPr="00DA652B" w:rsidRDefault="00DA652B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a další související právní předpisy či zákony</w:t>
            </w:r>
          </w:p>
          <w:p w:rsidR="0043055D" w:rsidRPr="00DA652B" w:rsidRDefault="00DA652B" w:rsidP="00DA652B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Činnosti spolupojištěných právních subjektů dle zřizovacích listin a výpisu z Obchodního rejstříku, Klubu důchodců a Sboru dobrovolných hasičů</w:t>
            </w:r>
          </w:p>
          <w:p w:rsidR="0073703C" w:rsidRPr="0043055D" w:rsidRDefault="0073703C" w:rsidP="0043055D">
            <w:pPr>
              <w:rPr>
                <w:lang w:val="la-Latn"/>
              </w:rPr>
            </w:pPr>
            <w:r w:rsidRPr="0043055D">
              <w:rPr>
                <w:lang w:val="la-Latn"/>
              </w:rPr>
              <w:t>Dále se pojištění vztahuje na držbu nemovitosti.</w:t>
            </w:r>
          </w:p>
        </w:tc>
      </w:tr>
      <w:tr w:rsidR="0073703C" w:rsidRPr="00CC51A0" w:rsidTr="0073703C">
        <w:tc>
          <w:tcPr>
            <w:tcW w:w="5000" w:type="pct"/>
            <w:gridSpan w:val="4"/>
          </w:tcPr>
          <w:p w:rsidR="0073703C" w:rsidRPr="0073703C" w:rsidRDefault="0073703C" w:rsidP="0073703C">
            <w:pPr>
              <w:rPr>
                <w:lang w:val="la-Latn"/>
              </w:rPr>
            </w:pPr>
          </w:p>
        </w:tc>
      </w:tr>
      <w:tr w:rsidR="0014500B" w:rsidRPr="005C2DCE" w:rsidTr="001450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55"/>
        </w:trPr>
        <w:tc>
          <w:tcPr>
            <w:tcW w:w="3982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14500B" w:rsidRDefault="0014500B" w:rsidP="0014500B">
            <w:pPr>
              <w:pStyle w:val="TabulkaNL"/>
            </w:pPr>
            <w:r>
              <w:t>Údaje rozhodné pro výpočet pojistného</w:t>
            </w:r>
          </w:p>
        </w:tc>
        <w:tc>
          <w:tcPr>
            <w:tcW w:w="977" w:type="pct"/>
            <w:tcBorders>
              <w:left w:val="single" w:sz="18" w:space="0" w:color="DBDCDD"/>
            </w:tcBorders>
            <w:shd w:val="clear" w:color="auto" w:fill="283164"/>
          </w:tcPr>
          <w:p w:rsidR="0014500B" w:rsidRPr="005C2DCE" w:rsidRDefault="0014500B" w:rsidP="0014500B">
            <w:pPr>
              <w:pStyle w:val="TabulkaNR"/>
            </w:pPr>
          </w:p>
        </w:tc>
      </w:tr>
      <w:tr w:rsidR="0014500B" w:rsidRPr="005C2DCE" w:rsidTr="00A12A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982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14500B" w:rsidRPr="005C2DCE" w:rsidRDefault="0014500B" w:rsidP="0014500B">
            <w:pPr>
              <w:pStyle w:val="TabulkaTR"/>
              <w:jc w:val="left"/>
            </w:pPr>
            <w:r>
              <w:rPr>
                <w:rFonts w:cs="Arial"/>
                <w:szCs w:val="16"/>
              </w:rPr>
              <w:t>Počet obyvatel města</w:t>
            </w:r>
          </w:p>
        </w:tc>
        <w:tc>
          <w:tcPr>
            <w:tcW w:w="977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14500B" w:rsidRPr="005C2DCE" w:rsidRDefault="008C1702" w:rsidP="00A54DAA">
            <w:pPr>
              <w:pStyle w:val="TabulkaTR"/>
            </w:pPr>
            <w:r w:rsidRPr="008C1702">
              <w:t>10 82</w:t>
            </w:r>
            <w:r w:rsidR="004F27CC">
              <w:t>0</w:t>
            </w:r>
            <w:r w:rsidR="00A54DAA">
              <w:t xml:space="preserve"> </w:t>
            </w:r>
          </w:p>
        </w:tc>
      </w:tr>
      <w:tr w:rsidR="00A54DAA" w:rsidRPr="005C2DCE" w:rsidTr="00A12A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982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54DAA" w:rsidRPr="00A54DAA" w:rsidRDefault="00A54DAA" w:rsidP="0014500B">
            <w:pPr>
              <w:pStyle w:val="TabulkaTR"/>
              <w:jc w:val="left"/>
            </w:pPr>
            <w:r>
              <w:t>Zastupitelstvo města</w:t>
            </w:r>
            <w:r w:rsidRPr="00A54DAA">
              <w:t xml:space="preserve"> - počet členů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54DAA" w:rsidRPr="000066C1" w:rsidRDefault="00A54DAA" w:rsidP="0014500B">
            <w:pPr>
              <w:pStyle w:val="TabulkaTR"/>
              <w:rPr>
                <w:highlight w:val="yellow"/>
              </w:rPr>
            </w:pPr>
            <w:r w:rsidRPr="008C1702">
              <w:t>21</w:t>
            </w:r>
          </w:p>
        </w:tc>
      </w:tr>
      <w:tr w:rsidR="00A54DAA" w:rsidRPr="005C2DCE" w:rsidTr="00A12A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982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54DAA" w:rsidRPr="00A54DAA" w:rsidRDefault="00A54DAA" w:rsidP="00A54DAA">
            <w:pPr>
              <w:pStyle w:val="TabulkaTR"/>
              <w:jc w:val="left"/>
            </w:pPr>
            <w:r>
              <w:t>Rada města</w:t>
            </w:r>
            <w:r w:rsidRPr="00A54DAA">
              <w:t xml:space="preserve"> - počet členů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54DAA" w:rsidRPr="000066C1" w:rsidRDefault="00A54DAA" w:rsidP="00A54DAA">
            <w:pPr>
              <w:pStyle w:val="TabulkaTR"/>
              <w:rPr>
                <w:highlight w:val="yellow"/>
              </w:rPr>
            </w:pPr>
            <w:r w:rsidRPr="008C1702">
              <w:t>7</w:t>
            </w:r>
          </w:p>
        </w:tc>
      </w:tr>
      <w:tr w:rsidR="0014500B" w:rsidRPr="005C2DCE" w:rsidTr="00A12A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982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14500B" w:rsidRPr="00A54DAA" w:rsidRDefault="0014500B" w:rsidP="0014500B">
            <w:pPr>
              <w:pStyle w:val="TabulkaTR"/>
              <w:jc w:val="left"/>
            </w:pPr>
            <w:r w:rsidRPr="00A54DAA">
              <w:t>Počet žáků základních a mateřských škol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14500B" w:rsidRPr="000066C1" w:rsidRDefault="00A148A2" w:rsidP="00A54DAA">
            <w:pPr>
              <w:pStyle w:val="TabulkaTR"/>
              <w:rPr>
                <w:highlight w:val="yellow"/>
              </w:rPr>
            </w:pPr>
            <w:r w:rsidRPr="00A148A2">
              <w:t>1</w:t>
            </w:r>
            <w:r w:rsidR="004F27CC">
              <w:t>115</w:t>
            </w:r>
            <w:r w:rsidR="00A54DAA" w:rsidRPr="00A148A2">
              <w:t xml:space="preserve"> </w:t>
            </w:r>
            <w:r w:rsidR="00434B4B" w:rsidRPr="00A148A2">
              <w:t xml:space="preserve">+ </w:t>
            </w:r>
            <w:r w:rsidR="004F27CC">
              <w:t>340</w:t>
            </w:r>
          </w:p>
        </w:tc>
      </w:tr>
      <w:tr w:rsidR="0014500B" w:rsidRPr="005C2DCE" w:rsidTr="00A12A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982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14500B" w:rsidRPr="0014500B" w:rsidRDefault="0014500B" w:rsidP="0014500B">
            <w:pPr>
              <w:pStyle w:val="TabulkaTR"/>
              <w:jc w:val="left"/>
            </w:pPr>
            <w:r>
              <w:t>Městská policie – počet osob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14500B" w:rsidRPr="000066C1" w:rsidRDefault="00557002" w:rsidP="0014500B">
            <w:pPr>
              <w:pStyle w:val="TabulkaTR"/>
              <w:rPr>
                <w:highlight w:val="yellow"/>
              </w:rPr>
            </w:pPr>
            <w:r w:rsidRPr="008C1702">
              <w:t>1</w:t>
            </w:r>
            <w:r w:rsidR="00D00224">
              <w:t>1</w:t>
            </w:r>
          </w:p>
        </w:tc>
      </w:tr>
      <w:tr w:rsidR="0014500B" w:rsidRPr="005C2DCE" w:rsidTr="00A12A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982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14500B" w:rsidRPr="0014500B" w:rsidRDefault="0014500B" w:rsidP="0014500B">
            <w:pPr>
              <w:pStyle w:val="TabulkaTR"/>
              <w:jc w:val="left"/>
            </w:pPr>
            <w:r>
              <w:t>Hasiči – počet osob</w:t>
            </w:r>
            <w:r w:rsidR="00375AA2">
              <w:t xml:space="preserve"> (</w:t>
            </w:r>
            <w:proofErr w:type="spellStart"/>
            <w:r w:rsidR="00375AA2">
              <w:t>profi+SDH</w:t>
            </w:r>
            <w:proofErr w:type="spellEnd"/>
            <w:r w:rsidR="00375AA2">
              <w:t>)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14500B" w:rsidRPr="000066C1" w:rsidRDefault="00917BA0" w:rsidP="00A54DAA">
            <w:pPr>
              <w:pStyle w:val="TabulkaTR"/>
              <w:rPr>
                <w:highlight w:val="yellow"/>
              </w:rPr>
            </w:pPr>
            <w:r>
              <w:t>9</w:t>
            </w:r>
            <w:r w:rsidR="000516E1" w:rsidRPr="000516E1">
              <w:t xml:space="preserve"> </w:t>
            </w:r>
            <w:r w:rsidR="00375AA2" w:rsidRPr="008C1702">
              <w:t xml:space="preserve">+ </w:t>
            </w:r>
            <w:r>
              <w:t>16</w:t>
            </w:r>
          </w:p>
        </w:tc>
      </w:tr>
    </w:tbl>
    <w:p w:rsidR="0073703C" w:rsidRDefault="0073703C" w:rsidP="008B4B24">
      <w:pPr>
        <w:pStyle w:val="PNadpis3"/>
        <w:numPr>
          <w:ilvl w:val="0"/>
          <w:numId w:val="0"/>
        </w:numPr>
        <w:ind w:left="680" w:hanging="680"/>
        <w:rPr>
          <w:lang w:val="la-Latn"/>
        </w:rPr>
      </w:pPr>
      <w:r>
        <w:rPr>
          <w:lang w:val="la-Latn"/>
        </w:rPr>
        <w:t>Báze pojištění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6"/>
      </w:tblGrid>
      <w:tr w:rsidR="0073703C" w:rsidRPr="00CC51A0" w:rsidTr="00B909A5">
        <w:tc>
          <w:tcPr>
            <w:tcW w:w="9286" w:type="dxa"/>
          </w:tcPr>
          <w:p w:rsidR="0073703C" w:rsidRPr="005116D0" w:rsidRDefault="0073703C" w:rsidP="0073703C">
            <w:pPr>
              <w:rPr>
                <w:lang w:val="la-Latn"/>
              </w:rPr>
            </w:pPr>
            <w:r w:rsidRPr="005116D0">
              <w:rPr>
                <w:lang w:val="la-Latn"/>
              </w:rPr>
              <w:t>Loss occurence</w:t>
            </w:r>
          </w:p>
        </w:tc>
      </w:tr>
    </w:tbl>
    <w:p w:rsidR="00B909A5" w:rsidRDefault="00B909A5" w:rsidP="00B909A5">
      <w:pPr>
        <w:pStyle w:val="PNadpis3"/>
        <w:numPr>
          <w:ilvl w:val="0"/>
          <w:numId w:val="0"/>
        </w:numPr>
        <w:ind w:left="680" w:hanging="680"/>
      </w:pPr>
      <w:r>
        <w:rPr>
          <w:lang w:val="la-Latn"/>
        </w:rPr>
        <w:t>Územní rozsah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643"/>
        <w:gridCol w:w="4643"/>
      </w:tblGrid>
      <w:tr w:rsidR="00B909A5" w:rsidRPr="00CC51A0" w:rsidTr="00FD56EF">
        <w:trPr>
          <w:trHeight w:val="255"/>
        </w:trPr>
        <w:tc>
          <w:tcPr>
            <w:tcW w:w="2500" w:type="pct"/>
            <w:tcBorders>
              <w:right w:val="single" w:sz="18" w:space="0" w:color="DBDCDD"/>
            </w:tcBorders>
            <w:shd w:val="clear" w:color="auto" w:fill="283164"/>
          </w:tcPr>
          <w:p w:rsidR="00B909A5" w:rsidRPr="00E972A4" w:rsidRDefault="00B909A5" w:rsidP="00FD56EF">
            <w:pPr>
              <w:pStyle w:val="TabulkaNL"/>
            </w:pPr>
            <w:r w:rsidRPr="00E972A4">
              <w:t>Druh pojištění</w:t>
            </w:r>
          </w:p>
        </w:tc>
        <w:tc>
          <w:tcPr>
            <w:tcW w:w="2500" w:type="pct"/>
            <w:tcBorders>
              <w:left w:val="single" w:sz="18" w:space="0" w:color="DBDCDD"/>
            </w:tcBorders>
            <w:shd w:val="clear" w:color="auto" w:fill="283164"/>
          </w:tcPr>
          <w:p w:rsidR="00B909A5" w:rsidRPr="00E972A4" w:rsidRDefault="00B909A5" w:rsidP="00FD56EF">
            <w:pPr>
              <w:pStyle w:val="TabulkaNL"/>
            </w:pPr>
            <w:r w:rsidRPr="00E972A4">
              <w:t>Územní rozsah</w:t>
            </w:r>
          </w:p>
        </w:tc>
      </w:tr>
      <w:tr w:rsidR="00B909A5" w:rsidRPr="00CC51A0" w:rsidTr="00FD56EF">
        <w:trPr>
          <w:trHeight w:val="511"/>
        </w:trPr>
        <w:tc>
          <w:tcPr>
            <w:tcW w:w="2500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B909A5" w:rsidRPr="0017386A" w:rsidRDefault="00B909A5" w:rsidP="00FD56EF">
            <w:pPr>
              <w:pStyle w:val="TabulkaTL"/>
            </w:pPr>
            <w:r w:rsidRPr="00CC51A0">
              <w:rPr>
                <w:rFonts w:cs="Arial"/>
                <w:szCs w:val="16"/>
              </w:rPr>
              <w:t>Obecná odpovědnost za škodu</w:t>
            </w:r>
            <w:r w:rsidRPr="00CC51A0">
              <w:rPr>
                <w:rFonts w:cs="Arial"/>
                <w:b/>
                <w:szCs w:val="16"/>
              </w:rPr>
              <w:t xml:space="preserve"> </w:t>
            </w:r>
            <w:r w:rsidRPr="00CC51A0">
              <w:rPr>
                <w:rFonts w:cs="Arial"/>
                <w:szCs w:val="16"/>
              </w:rPr>
              <w:t>(škody na majetku a na zdraví třetích osob vč. následných finančních škod)</w:t>
            </w:r>
          </w:p>
        </w:tc>
        <w:tc>
          <w:tcPr>
            <w:tcW w:w="2500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B909A5" w:rsidRPr="008B4B24" w:rsidRDefault="00B909A5" w:rsidP="00FD56EF">
            <w:pPr>
              <w:pStyle w:val="TabulkaTL"/>
            </w:pPr>
            <w:r w:rsidRPr="008B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ČR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Evropa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vč. USA a Kanady </w:t>
            </w:r>
            <w:r w:rsidRPr="008B4B24">
              <w:br/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vyjma USA a Kanady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Jiné: doplnit</w:t>
            </w:r>
          </w:p>
        </w:tc>
      </w:tr>
      <w:tr w:rsidR="00B909A5" w:rsidRPr="00CC51A0" w:rsidTr="00FD56EF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B909A5" w:rsidRPr="00CC51A0" w:rsidRDefault="00B909A5" w:rsidP="00FD56EF">
            <w:pPr>
              <w:pStyle w:val="TabulkaTL"/>
              <w:rPr>
                <w:rFonts w:cs="Arial"/>
                <w:szCs w:val="16"/>
              </w:rPr>
            </w:pPr>
            <w:r w:rsidRPr="00CC51A0">
              <w:rPr>
                <w:rFonts w:cs="Arial"/>
                <w:szCs w:val="16"/>
              </w:rPr>
              <w:t>Odpovědnost za škody způsobené vadným výrobkem (včetně vadně vykonané práce)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909A5" w:rsidRPr="008B4B24" w:rsidRDefault="00B909A5" w:rsidP="00FD56EF">
            <w:pPr>
              <w:pStyle w:val="TabulkaTL"/>
            </w:pPr>
            <w:r w:rsidRPr="008B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ČR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Evropa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vč. USA a Kanady </w:t>
            </w:r>
            <w:r w:rsidRPr="008B4B24">
              <w:br/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vyjma USA a Kanady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Jiné: doplnit</w:t>
            </w:r>
          </w:p>
        </w:tc>
      </w:tr>
      <w:tr w:rsidR="00B909A5" w:rsidRPr="00CC51A0" w:rsidTr="00FD56EF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B909A5" w:rsidRPr="00CC51A0" w:rsidRDefault="00B909A5" w:rsidP="00FD56EF">
            <w:pPr>
              <w:pStyle w:val="TabulkaTL"/>
              <w:rPr>
                <w:rFonts w:cs="Arial"/>
                <w:szCs w:val="16"/>
              </w:rPr>
            </w:pPr>
            <w:r w:rsidRPr="00CC51A0">
              <w:rPr>
                <w:rFonts w:cs="Arial"/>
                <w:szCs w:val="16"/>
              </w:rPr>
              <w:t>Čisté finanční škody (škody které nevzniknou následkem škody na zdraví nebo na věci)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909A5" w:rsidRPr="008B4B24" w:rsidRDefault="00B909A5" w:rsidP="00FD56EF">
            <w:pPr>
              <w:pStyle w:val="TabulkaTL"/>
            </w:pPr>
            <w:r w:rsidRPr="008B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ČR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Evropa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vč. USA a Kanady </w:t>
            </w:r>
            <w:r w:rsidRPr="008B4B24">
              <w:br/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vyjma USA a Kanady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Jiné: doplnit</w:t>
            </w:r>
          </w:p>
        </w:tc>
      </w:tr>
      <w:tr w:rsidR="00B909A5" w:rsidRPr="00CC51A0" w:rsidTr="00FD56EF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B909A5" w:rsidRPr="00217E89" w:rsidRDefault="00B909A5" w:rsidP="00FD56EF">
            <w:pPr>
              <w:pStyle w:val="TabulkaTL"/>
              <w:rPr>
                <w:rFonts w:cs="Arial"/>
                <w:szCs w:val="16"/>
              </w:rPr>
            </w:pPr>
            <w:r w:rsidRPr="00217E89">
              <w:rPr>
                <w:rFonts w:cs="Arial"/>
                <w:szCs w:val="16"/>
              </w:rPr>
              <w:t>Odpovědnost za škodu na životě, zdraví a věcech žáků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</w:tcPr>
          <w:p w:rsidR="00B909A5" w:rsidRDefault="00B909A5" w:rsidP="00FD56EF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721F">
              <w:fldChar w:fldCharType="separate"/>
            </w:r>
            <w:r>
              <w:fldChar w:fldCharType="end"/>
            </w:r>
            <w:r w:rsidRPr="001F72B9">
              <w:t xml:space="preserve"> ČR </w:t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69721F">
              <w:fldChar w:fldCharType="separate"/>
            </w:r>
            <w:r>
              <w:fldChar w:fldCharType="end"/>
            </w:r>
            <w:r w:rsidRPr="001F72B9">
              <w:t xml:space="preserve"> Evropa</w:t>
            </w:r>
            <w:r>
              <w:t xml:space="preserve">  </w:t>
            </w:r>
            <w:r w:rsidRPr="001F72B9">
              <w:t xml:space="preserve">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2B9">
              <w:instrText xml:space="preserve"> FORMCHECKBOX </w:instrText>
            </w:r>
            <w:r w:rsidR="0069721F">
              <w:fldChar w:fldCharType="separate"/>
            </w:r>
            <w:r w:rsidRPr="001F72B9">
              <w:fldChar w:fldCharType="end"/>
            </w:r>
            <w:r w:rsidRPr="001F72B9">
              <w:t xml:space="preserve"> Celý svět, vč. USA a Kanady </w:t>
            </w:r>
            <w:r w:rsidRPr="001F72B9">
              <w:br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721F">
              <w:fldChar w:fldCharType="separate"/>
            </w:r>
            <w:r>
              <w:fldChar w:fldCharType="end"/>
            </w:r>
            <w:r w:rsidRPr="001F72B9">
              <w:t xml:space="preserve"> Celý svět, vyjma USA a Kanady </w:t>
            </w:r>
            <w:r>
              <w:t xml:space="preserve"> 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2B9">
              <w:instrText xml:space="preserve"> FORMCHECKBOX </w:instrText>
            </w:r>
            <w:r w:rsidR="0069721F">
              <w:fldChar w:fldCharType="separate"/>
            </w:r>
            <w:r w:rsidRPr="001F72B9">
              <w:fldChar w:fldCharType="end"/>
            </w:r>
            <w:r w:rsidRPr="001F72B9">
              <w:t xml:space="preserve"> Jiné: </w:t>
            </w:r>
            <w:r w:rsidRPr="00C550A3">
              <w:t>doplnit</w:t>
            </w:r>
          </w:p>
        </w:tc>
      </w:tr>
      <w:tr w:rsidR="00B909A5" w:rsidRPr="00CC51A0" w:rsidTr="00FD56EF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B909A5" w:rsidRPr="00E972A4" w:rsidRDefault="00B909A5" w:rsidP="00FD56EF">
            <w:pPr>
              <w:pStyle w:val="TabulkaTL"/>
            </w:pPr>
            <w:r w:rsidRPr="005A27A8">
              <w:t>Ostatní připojištění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909A5" w:rsidRPr="008B4B24" w:rsidRDefault="00B909A5" w:rsidP="00FD56EF">
            <w:pPr>
              <w:pStyle w:val="TabulkaTL"/>
            </w:pPr>
            <w:r w:rsidRPr="008B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ČR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Evropa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vč. USA a Kanady </w:t>
            </w:r>
            <w:r w:rsidRPr="008B4B24">
              <w:br/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Celý svět, vyjma USA a Kanady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69721F">
              <w:fldChar w:fldCharType="separate"/>
            </w:r>
            <w:r w:rsidRPr="008B4B24">
              <w:fldChar w:fldCharType="end"/>
            </w:r>
            <w:r w:rsidRPr="008B4B24">
              <w:t xml:space="preserve"> Jiné: doplnit</w:t>
            </w:r>
          </w:p>
        </w:tc>
      </w:tr>
    </w:tbl>
    <w:p w:rsidR="00B909A5" w:rsidRDefault="00B909A5" w:rsidP="00B909A5">
      <w:pPr>
        <w:spacing w:line="240" w:lineRule="auto"/>
        <w:jc w:val="left"/>
        <w:rPr>
          <w:b/>
          <w:bCs/>
          <w:color w:val="283164"/>
          <w:szCs w:val="26"/>
        </w:rPr>
      </w:pPr>
    </w:p>
    <w:p w:rsidR="00B909A5" w:rsidRDefault="00B909A5" w:rsidP="00A54DAA">
      <w:pPr>
        <w:pStyle w:val="PNadpis3"/>
        <w:numPr>
          <w:ilvl w:val="0"/>
          <w:numId w:val="0"/>
        </w:numPr>
        <w:spacing w:before="240"/>
        <w:ind w:left="680" w:hanging="680"/>
      </w:pPr>
    </w:p>
    <w:p w:rsidR="00B909A5" w:rsidRDefault="00B909A5" w:rsidP="00A54DAA">
      <w:pPr>
        <w:pStyle w:val="PNadpis3"/>
        <w:numPr>
          <w:ilvl w:val="0"/>
          <w:numId w:val="0"/>
        </w:numPr>
        <w:spacing w:before="240"/>
        <w:ind w:left="680" w:hanging="680"/>
      </w:pPr>
    </w:p>
    <w:p w:rsidR="00B909A5" w:rsidRDefault="00B909A5">
      <w:pPr>
        <w:spacing w:line="240" w:lineRule="auto"/>
        <w:jc w:val="left"/>
        <w:rPr>
          <w:b/>
          <w:bCs/>
          <w:color w:val="283164"/>
          <w:szCs w:val="26"/>
          <w:lang w:val="la-Latn"/>
        </w:rPr>
      </w:pPr>
      <w:r>
        <w:rPr>
          <w:lang w:val="la-Latn"/>
        </w:rPr>
        <w:br w:type="page"/>
      </w:r>
    </w:p>
    <w:p w:rsidR="00A54DAA" w:rsidRDefault="00A54DAA" w:rsidP="00A54DAA">
      <w:pPr>
        <w:pStyle w:val="PNadpis3"/>
        <w:numPr>
          <w:ilvl w:val="0"/>
          <w:numId w:val="0"/>
        </w:numPr>
        <w:spacing w:before="240"/>
        <w:ind w:left="680" w:hanging="680"/>
      </w:pPr>
      <w:r w:rsidRPr="00B86317">
        <w:rPr>
          <w:lang w:val="la-Latn"/>
        </w:rPr>
        <w:lastRenderedPageBreak/>
        <w:t>Předměty pojištění,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6"/>
        <w:gridCol w:w="1790"/>
        <w:gridCol w:w="1794"/>
      </w:tblGrid>
      <w:tr w:rsidR="006C4209" w:rsidRPr="00BF3B43" w:rsidTr="006C4209">
        <w:trPr>
          <w:trHeight w:val="255"/>
          <w:tblHeader/>
        </w:trPr>
        <w:tc>
          <w:tcPr>
            <w:tcW w:w="3054" w:type="pct"/>
            <w:vMerge w:val="restart"/>
            <w:tcBorders>
              <w:top w:val="nil"/>
              <w:left w:val="nil"/>
              <w:bottom w:val="nil"/>
              <w:right w:val="single" w:sz="18" w:space="0" w:color="DBDCDD"/>
            </w:tcBorders>
            <w:shd w:val="clear" w:color="auto" w:fill="283164"/>
            <w:noWrap/>
          </w:tcPr>
          <w:p w:rsidR="006C4209" w:rsidRPr="00BF3B43" w:rsidRDefault="006C4209" w:rsidP="005371EF">
            <w:pPr>
              <w:pStyle w:val="TabulkaNL"/>
            </w:pPr>
            <w:r w:rsidRPr="00BF3B43">
              <w:t>Rozsah pojistného krytí</w:t>
            </w:r>
          </w:p>
        </w:tc>
        <w:tc>
          <w:tcPr>
            <w:tcW w:w="1946" w:type="pct"/>
            <w:gridSpan w:val="2"/>
            <w:tcBorders>
              <w:top w:val="nil"/>
              <w:left w:val="single" w:sz="18" w:space="0" w:color="DBDCDD"/>
              <w:bottom w:val="single" w:sz="18" w:space="0" w:color="DBDCDD"/>
            </w:tcBorders>
            <w:shd w:val="clear" w:color="auto" w:fill="283164"/>
          </w:tcPr>
          <w:p w:rsidR="006C4209" w:rsidRPr="00BF3B43" w:rsidRDefault="006C4209" w:rsidP="005371EF">
            <w:pPr>
              <w:pStyle w:val="TabulkaNM"/>
            </w:pPr>
            <w:r w:rsidRPr="00BF3B43">
              <w:t>Varianta I</w:t>
            </w:r>
          </w:p>
        </w:tc>
      </w:tr>
      <w:tr w:rsidR="006C4209" w:rsidRPr="00BF3B43" w:rsidTr="006C4209">
        <w:trPr>
          <w:trHeight w:val="255"/>
          <w:tblHeader/>
        </w:trPr>
        <w:tc>
          <w:tcPr>
            <w:tcW w:w="3054" w:type="pct"/>
            <w:vMerge/>
            <w:tcBorders>
              <w:top w:val="nil"/>
              <w:left w:val="nil"/>
              <w:right w:val="single" w:sz="18" w:space="0" w:color="DBDCDD"/>
            </w:tcBorders>
          </w:tcPr>
          <w:p w:rsidR="006C4209" w:rsidRPr="00BF3B43" w:rsidRDefault="006C4209" w:rsidP="005371EF">
            <w:pPr>
              <w:pStyle w:val="TabulkaNL"/>
            </w:pPr>
          </w:p>
        </w:tc>
        <w:tc>
          <w:tcPr>
            <w:tcW w:w="972" w:type="pct"/>
            <w:tcBorders>
              <w:top w:val="single" w:sz="18" w:space="0" w:color="DBDCDD"/>
              <w:left w:val="single" w:sz="18" w:space="0" w:color="DBDCDD"/>
            </w:tcBorders>
            <w:shd w:val="clear" w:color="auto" w:fill="283164"/>
          </w:tcPr>
          <w:p w:rsidR="006C4209" w:rsidRPr="00BF3B43" w:rsidRDefault="006C4209" w:rsidP="005371EF">
            <w:pPr>
              <w:pStyle w:val="TabulkaNR"/>
            </w:pPr>
            <w:r w:rsidRPr="00BF3B43">
              <w:t>Limit/</w:t>
            </w:r>
            <w:r w:rsidRPr="00BF3B43">
              <w:br/>
            </w:r>
            <w:proofErr w:type="spellStart"/>
            <w:r w:rsidRPr="00BF3B43">
              <w:t>Sublimit</w:t>
            </w:r>
            <w:proofErr w:type="spellEnd"/>
          </w:p>
        </w:tc>
        <w:tc>
          <w:tcPr>
            <w:tcW w:w="974" w:type="pct"/>
            <w:tcBorders>
              <w:top w:val="single" w:sz="18" w:space="0" w:color="DBDCDD"/>
              <w:left w:val="single" w:sz="18" w:space="0" w:color="DBDCDD"/>
            </w:tcBorders>
            <w:shd w:val="clear" w:color="auto" w:fill="283164"/>
          </w:tcPr>
          <w:p w:rsidR="006C4209" w:rsidRPr="00BF3B43" w:rsidRDefault="006C4209" w:rsidP="005371EF">
            <w:pPr>
              <w:pStyle w:val="TabulkaNR"/>
            </w:pPr>
            <w:r w:rsidRPr="00BF3B43">
              <w:t>Spoluúčast</w:t>
            </w:r>
          </w:p>
        </w:tc>
      </w:tr>
      <w:tr w:rsidR="006C4209" w:rsidRPr="00BF3B43" w:rsidTr="00B909A5">
        <w:trPr>
          <w:trHeight w:val="284"/>
        </w:trPr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B909A5">
            <w:pPr>
              <w:pStyle w:val="TabulkaTL"/>
            </w:pPr>
            <w:r w:rsidRPr="00BF3B43">
              <w:t xml:space="preserve">Obecná odpovědnost za škodu (škody na majetku a na zdraví třetích osob vč. následných finančních škod a </w:t>
            </w:r>
            <w:r w:rsidRPr="00BF3B43">
              <w:rPr>
                <w:szCs w:val="18"/>
              </w:rPr>
              <w:t>škod na</w:t>
            </w:r>
            <w:r w:rsidRPr="00BF3B43">
              <w:t xml:space="preserve"> životním prostředí v důsledku nenadálého selhání ochranného zařízení)</w:t>
            </w:r>
            <w:r w:rsidRPr="00BF3B43">
              <w:rPr>
                <w:rFonts w:cs="Arial"/>
                <w:szCs w:val="16"/>
              </w:rPr>
              <w:t xml:space="preserve"> vč. vlastnictví nemovitosti</w:t>
            </w:r>
          </w:p>
        </w:tc>
        <w:tc>
          <w:tcPr>
            <w:tcW w:w="972" w:type="pct"/>
            <w:tcBorders>
              <w:top w:val="nil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30 000 000 </w:t>
            </w:r>
          </w:p>
        </w:tc>
        <w:tc>
          <w:tcPr>
            <w:tcW w:w="974" w:type="pct"/>
            <w:tcBorders>
              <w:top w:val="nil"/>
              <w:left w:val="single" w:sz="18" w:space="0" w:color="DBDCDD"/>
              <w:bottom w:val="single" w:sz="4" w:space="0" w:color="auto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6C4209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Odpovědnost za škody způsobené vadným výrobkem (včetně vadně vykonané práce)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30 000 000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6C4209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Čisté finanční škody (škody, které nevzniknou následkem škody na zdraví nebo na věci)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6C4209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Věci převzaté (k opravě, úpravě)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6C4209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Věci užívané (pronajaté, na leasing, kromě automobilů)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6C4209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Pronájem nemovitosti od 3. strany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5 000 000 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6C4209" w:rsidRPr="00BF3B43" w:rsidRDefault="006C4209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5371EF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5371EF" w:rsidRPr="00BF3B43" w:rsidRDefault="005371EF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</w:rPr>
              <w:t>Regresy zdravotních pojišťoven pro zaměstnance, osoby ve výkonu veřejných funkcí, členy sboru dobrovolných hasičů včetně regresů orgánů nemocenského pojištění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5371EF" w:rsidRPr="00BF3B43" w:rsidRDefault="005371EF" w:rsidP="005371EF">
            <w:pPr>
              <w:pStyle w:val="TabulkaTR"/>
            </w:pPr>
            <w:r w:rsidRPr="00BF3B43">
              <w:t xml:space="preserve">10 000 000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5371EF" w:rsidRPr="00BF3B43" w:rsidRDefault="005371EF" w:rsidP="005371EF">
            <w:pPr>
              <w:pStyle w:val="TabulkaTR"/>
            </w:pPr>
            <w:r w:rsidRPr="00BF3B43">
              <w:t xml:space="preserve">1 000 </w:t>
            </w:r>
          </w:p>
        </w:tc>
      </w:tr>
      <w:tr w:rsidR="005371EF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5371EF" w:rsidRPr="00BF3B43" w:rsidRDefault="005371EF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Věci zaměstnanců,</w:t>
            </w:r>
            <w:r w:rsidRPr="00BF3B43">
              <w:rPr>
                <w:rFonts w:cs="Arial"/>
              </w:rPr>
              <w:t xml:space="preserve"> osob ve výkonu veřejných funkcí, členů sboru dobrovolných hasičů, včetně </w:t>
            </w:r>
            <w:r w:rsidRPr="00BF3B43">
              <w:rPr>
                <w:szCs w:val="19"/>
              </w:rPr>
              <w:t>mobilních telefonů, notebooků, ostatních elektronických zařízení a jízdních kol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5371EF" w:rsidRPr="00BF3B43" w:rsidRDefault="00BF3B43" w:rsidP="005371EF">
            <w:pPr>
              <w:pStyle w:val="TabulkaTR"/>
            </w:pPr>
            <w:r w:rsidRPr="00BF3B43">
              <w:t xml:space="preserve">500 000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5371EF" w:rsidRPr="00BF3B43" w:rsidRDefault="00BF3B43" w:rsidP="005371EF">
            <w:pPr>
              <w:pStyle w:val="TabulkaTR"/>
            </w:pPr>
            <w:r>
              <w:t>0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szCs w:val="19"/>
              </w:rPr>
              <w:t>Odpovědnosti za škody způsobené při výkonu veřejné moci rozhodnutím nebo nesprávným úředním postupem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DA652B" w:rsidRDefault="00BF3B43" w:rsidP="00BF3B43">
            <w:pPr>
              <w:pStyle w:val="TabulkaTR"/>
            </w:pPr>
            <w:r>
              <w:t xml:space="preserve">5 000 000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DA652B" w:rsidRDefault="00BF3B43" w:rsidP="00BF3B43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Odpovědnost zastupitelů za škodu způsobenou obci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t xml:space="preserve">Odpovědnost za škody způsobené </w:t>
            </w:r>
            <w:r>
              <w:t>městskou (</w:t>
            </w:r>
            <w:r w:rsidRPr="00BF3B43">
              <w:t>obecní</w:t>
            </w:r>
            <w:r>
              <w:t>)</w:t>
            </w:r>
            <w:r w:rsidRPr="00BF3B43">
              <w:t xml:space="preserve"> policií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20 000 000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Odpovědnost obecního hasičského sboru / odpovědnost dobrovolného hasičského sboru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10 000 000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szCs w:val="19"/>
              </w:rPr>
              <w:t>Odpovědnost poskytovatele sociální péče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DA652B" w:rsidRDefault="00BF3B43" w:rsidP="00BF3B43">
            <w:pPr>
              <w:pStyle w:val="TabulkaTR"/>
            </w:pPr>
            <w:r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DA652B" w:rsidRDefault="00BF3B43" w:rsidP="00BF3B43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t>Odpovědnost z provozování sportovních, kulturních, sociálních, rekreačních zařízení /akcí/ služeb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10 000 000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szCs w:val="19"/>
              </w:rPr>
              <w:t>Odpovědnost správce komunikace a správce nemovitostí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2 000 000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</w:pPr>
            <w:r w:rsidRPr="00BF3B43">
              <w:rPr>
                <w:rFonts w:cs="Arial"/>
                <w:szCs w:val="16"/>
              </w:rPr>
              <w:t>Škody na životním prostředí (vzniklé</w:t>
            </w:r>
            <w:r w:rsidRPr="00BF3B43">
              <w:rPr>
                <w:rFonts w:cs="Arial"/>
              </w:rPr>
              <w:t xml:space="preserve"> jinak než v důsledku nenadálého selhání ochranného zařízení)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909A5" w:rsidP="005371EF">
            <w:pPr>
              <w:pStyle w:val="TabulkaTR"/>
            </w:pPr>
            <w:r>
              <w:t>5</w:t>
            </w:r>
            <w:r w:rsidR="00BF3B43" w:rsidRPr="00BF3B43">
              <w:t>00</w:t>
            </w:r>
            <w:r>
              <w:t> </w:t>
            </w:r>
            <w:r w:rsidR="00BF3B43" w:rsidRPr="00BF3B43">
              <w:t>000</w:t>
            </w:r>
            <w:r>
              <w:t xml:space="preserve">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szCs w:val="19"/>
              </w:rPr>
            </w:pPr>
            <w:r w:rsidRPr="00BF3B43">
              <w:rPr>
                <w:szCs w:val="19"/>
              </w:rPr>
              <w:t>Odpovědnost v souvislosti s rozšířením salmonely a jiných přenosných chorob v souvislosti s mikrobiologickou kontaminací výrobku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DA652B" w:rsidRDefault="00BF3B43" w:rsidP="00BF3B43">
            <w:pPr>
              <w:pStyle w:val="TabulkaTR"/>
            </w:pPr>
            <w:r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DA652B" w:rsidRDefault="00BF3B43" w:rsidP="00BF3B43">
            <w:pPr>
              <w:pStyle w:val="TabulkaTR"/>
            </w:pPr>
            <w:r>
              <w:t xml:space="preserve">1 000 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szCs w:val="19"/>
              </w:rPr>
            </w:pPr>
            <w:r w:rsidRPr="00BF3B43">
              <w:rPr>
                <w:szCs w:val="19"/>
              </w:rPr>
              <w:t>Odpovědnost provozovatele školy a školského zařízení, včetně pořádání školských akcí a výletů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20 000 000 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BF3B43" w:rsidRPr="00BF3B43" w:rsidRDefault="00BF3B43" w:rsidP="00BF3B43">
            <w:pPr>
              <w:pStyle w:val="TabulkaTR"/>
            </w:pPr>
            <w:r>
              <w:t>0</w:t>
            </w: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szCs w:val="19"/>
              </w:rPr>
            </w:pPr>
            <w:r w:rsidRPr="00BF3B43">
              <w:rPr>
                <w:szCs w:val="19"/>
              </w:rPr>
              <w:t>Odpovědnost školského zařízení za krádež věcí žáků, studentů, učňů v šatnách, včetně finanční hotovosti, mobilních telefonů, oděvů, obuvi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  <w:r>
              <w:t xml:space="preserve">500 000 </w:t>
            </w:r>
          </w:p>
        </w:tc>
        <w:tc>
          <w:tcPr>
            <w:tcW w:w="974" w:type="pct"/>
            <w:vMerge/>
            <w:tcBorders>
              <w:left w:val="single" w:sz="18" w:space="0" w:color="DBDCDD"/>
            </w:tcBorders>
            <w:vAlign w:val="center"/>
          </w:tcPr>
          <w:p w:rsidR="00BF3B43" w:rsidRPr="00BF3B43" w:rsidRDefault="00BF3B43" w:rsidP="005371EF">
            <w:pPr>
              <w:pStyle w:val="TabulkaTR"/>
            </w:pPr>
          </w:p>
        </w:tc>
      </w:tr>
      <w:tr w:rsidR="00BF3B43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Osobnostní (nemajetková) újma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909A5" w:rsidP="005371EF">
            <w:pPr>
              <w:pStyle w:val="TabulkaTR"/>
            </w:pPr>
            <w:r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909A5" w:rsidP="005371EF">
            <w:pPr>
              <w:pStyle w:val="TabulkaTR"/>
            </w:pPr>
            <w:r>
              <w:t xml:space="preserve">1 000 </w:t>
            </w:r>
          </w:p>
        </w:tc>
      </w:tr>
      <w:tr w:rsidR="002305A0" w:rsidRP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2305A0" w:rsidRPr="00BF3B43" w:rsidRDefault="002305A0" w:rsidP="00B909A5">
            <w:pPr>
              <w:pStyle w:val="TabulkaT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Odpovědnost za škodu na zdraví a na věci způsobenou při výkonu veřejné služby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2305A0" w:rsidRDefault="002305A0" w:rsidP="005371EF">
            <w:pPr>
              <w:pStyle w:val="TabulkaTR"/>
            </w:pPr>
            <w:r>
              <w:t>1 000 000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2305A0" w:rsidRDefault="002305A0" w:rsidP="005371EF">
            <w:pPr>
              <w:pStyle w:val="TabulkaTR"/>
            </w:pPr>
            <w:r>
              <w:t>1 000</w:t>
            </w:r>
          </w:p>
        </w:tc>
      </w:tr>
      <w:tr w:rsidR="00BF3B43" w:rsidTr="00B909A5">
        <w:trPr>
          <w:trHeight w:val="284"/>
        </w:trPr>
        <w:tc>
          <w:tcPr>
            <w:tcW w:w="305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F3B43" w:rsidP="00B909A5">
            <w:pPr>
              <w:pStyle w:val="TabulkaTL"/>
              <w:rPr>
                <w:rFonts w:cs="Arial"/>
                <w:szCs w:val="16"/>
              </w:rPr>
            </w:pPr>
            <w:r w:rsidRPr="00BF3B43">
              <w:rPr>
                <w:rFonts w:cs="Arial"/>
                <w:szCs w:val="16"/>
              </w:rPr>
              <w:t>Křížová odpovědnost (vůči majetkově propojeným a spolupojištěným společnostem)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BF3B43" w:rsidRPr="00BF3B43" w:rsidRDefault="00B909A5" w:rsidP="005371EF">
            <w:pPr>
              <w:pStyle w:val="TabulkaTR"/>
            </w:pPr>
            <w:r>
              <w:t xml:space="preserve">1 000 000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BF3B43" w:rsidRPr="00BF3B43" w:rsidRDefault="00B909A5" w:rsidP="005371EF">
            <w:pPr>
              <w:pStyle w:val="TabulkaTR"/>
            </w:pPr>
            <w:r>
              <w:t xml:space="preserve">1 000 </w:t>
            </w:r>
          </w:p>
        </w:tc>
      </w:tr>
    </w:tbl>
    <w:p w:rsidR="006C4209" w:rsidRDefault="006C4209" w:rsidP="00B909A5">
      <w:pPr>
        <w:pStyle w:val="PNadpis3"/>
        <w:numPr>
          <w:ilvl w:val="0"/>
          <w:numId w:val="0"/>
        </w:numPr>
        <w:ind w:left="680" w:hanging="680"/>
        <w:rPr>
          <w:b w:val="0"/>
          <w:bCs w:val="0"/>
        </w:rPr>
      </w:pPr>
    </w:p>
    <w:sectPr w:rsidR="006C4209" w:rsidSect="00D21E52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00" w:rsidRDefault="00B36100" w:rsidP="004F5014">
      <w:pPr>
        <w:spacing w:line="240" w:lineRule="auto"/>
      </w:pPr>
      <w:r>
        <w:separator/>
      </w:r>
    </w:p>
  </w:endnote>
  <w:endnote w:type="continuationSeparator" w:id="0">
    <w:p w:rsidR="00B36100" w:rsidRDefault="00B36100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BF3B43" w:rsidRDefault="00BF3B43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9721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9721F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F3B43" w:rsidRPr="00DF4ED5" w:rsidRDefault="00BF3B43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00" w:rsidRDefault="00B36100" w:rsidP="004F5014">
      <w:pPr>
        <w:spacing w:line="240" w:lineRule="auto"/>
      </w:pPr>
      <w:r>
        <w:separator/>
      </w:r>
    </w:p>
  </w:footnote>
  <w:footnote w:type="continuationSeparator" w:id="0">
    <w:p w:rsidR="00B36100" w:rsidRDefault="00B36100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B43" w:rsidRDefault="00BF3B43" w:rsidP="004F5014">
    <w:pPr>
      <w:pStyle w:val="Zhlav"/>
      <w:jc w:val="right"/>
    </w:pPr>
    <w:r>
      <w:t>P</w:t>
    </w:r>
    <w:r w:rsidR="0069721F">
      <w:t>říloha č. 2h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56B636D"/>
    <w:multiLevelType w:val="hybridMultilevel"/>
    <w:tmpl w:val="F8463A54"/>
    <w:lvl w:ilvl="0" w:tplc="21925E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066C1"/>
    <w:rsid w:val="000516E1"/>
    <w:rsid w:val="00071BAB"/>
    <w:rsid w:val="00097FDE"/>
    <w:rsid w:val="000E365F"/>
    <w:rsid w:val="000F6949"/>
    <w:rsid w:val="00102623"/>
    <w:rsid w:val="001214FD"/>
    <w:rsid w:val="0014500B"/>
    <w:rsid w:val="0015110A"/>
    <w:rsid w:val="001A6F0E"/>
    <w:rsid w:val="001E73A2"/>
    <w:rsid w:val="002305A0"/>
    <w:rsid w:val="00256F10"/>
    <w:rsid w:val="002776E5"/>
    <w:rsid w:val="002A5DBA"/>
    <w:rsid w:val="002E0101"/>
    <w:rsid w:val="002E1918"/>
    <w:rsid w:val="00317016"/>
    <w:rsid w:val="00322D47"/>
    <w:rsid w:val="003737FA"/>
    <w:rsid w:val="00375AA2"/>
    <w:rsid w:val="00383C22"/>
    <w:rsid w:val="003B17E5"/>
    <w:rsid w:val="003D4888"/>
    <w:rsid w:val="004261A4"/>
    <w:rsid w:val="0043055D"/>
    <w:rsid w:val="004340BD"/>
    <w:rsid w:val="00434B4B"/>
    <w:rsid w:val="00456138"/>
    <w:rsid w:val="00491691"/>
    <w:rsid w:val="0049230C"/>
    <w:rsid w:val="00497D94"/>
    <w:rsid w:val="004A5503"/>
    <w:rsid w:val="004F27CC"/>
    <w:rsid w:val="004F5014"/>
    <w:rsid w:val="005116D0"/>
    <w:rsid w:val="00531461"/>
    <w:rsid w:val="005371EF"/>
    <w:rsid w:val="00557002"/>
    <w:rsid w:val="005C2DCE"/>
    <w:rsid w:val="005D54E4"/>
    <w:rsid w:val="005F59E5"/>
    <w:rsid w:val="005F74B3"/>
    <w:rsid w:val="00605F63"/>
    <w:rsid w:val="0069721F"/>
    <w:rsid w:val="006B399C"/>
    <w:rsid w:val="006C4209"/>
    <w:rsid w:val="006C632C"/>
    <w:rsid w:val="006E55E7"/>
    <w:rsid w:val="00716DF9"/>
    <w:rsid w:val="00720235"/>
    <w:rsid w:val="00722B68"/>
    <w:rsid w:val="00727317"/>
    <w:rsid w:val="0073703C"/>
    <w:rsid w:val="007416D7"/>
    <w:rsid w:val="007428B0"/>
    <w:rsid w:val="00776B81"/>
    <w:rsid w:val="00783771"/>
    <w:rsid w:val="007A3C7A"/>
    <w:rsid w:val="007A5B0F"/>
    <w:rsid w:val="007B2482"/>
    <w:rsid w:val="007D4C11"/>
    <w:rsid w:val="007D4F69"/>
    <w:rsid w:val="007F28AE"/>
    <w:rsid w:val="007F6C3F"/>
    <w:rsid w:val="008152B0"/>
    <w:rsid w:val="0084377A"/>
    <w:rsid w:val="008524B9"/>
    <w:rsid w:val="008B4B24"/>
    <w:rsid w:val="008C1702"/>
    <w:rsid w:val="008C1E76"/>
    <w:rsid w:val="008E0922"/>
    <w:rsid w:val="008F57E7"/>
    <w:rsid w:val="008F61AF"/>
    <w:rsid w:val="008F79D1"/>
    <w:rsid w:val="00907333"/>
    <w:rsid w:val="00917BA0"/>
    <w:rsid w:val="00944957"/>
    <w:rsid w:val="00951E05"/>
    <w:rsid w:val="00972999"/>
    <w:rsid w:val="009A00E8"/>
    <w:rsid w:val="009B1BE3"/>
    <w:rsid w:val="009E66E6"/>
    <w:rsid w:val="00A12A1A"/>
    <w:rsid w:val="00A148A2"/>
    <w:rsid w:val="00A156E2"/>
    <w:rsid w:val="00A33AC5"/>
    <w:rsid w:val="00A3678A"/>
    <w:rsid w:val="00A43AD8"/>
    <w:rsid w:val="00A51969"/>
    <w:rsid w:val="00A54DAA"/>
    <w:rsid w:val="00A66876"/>
    <w:rsid w:val="00A6738D"/>
    <w:rsid w:val="00AD3C6F"/>
    <w:rsid w:val="00AE09AF"/>
    <w:rsid w:val="00B17E32"/>
    <w:rsid w:val="00B36100"/>
    <w:rsid w:val="00B538D3"/>
    <w:rsid w:val="00B909A5"/>
    <w:rsid w:val="00B94A58"/>
    <w:rsid w:val="00BC3F1E"/>
    <w:rsid w:val="00BC4B83"/>
    <w:rsid w:val="00BE513E"/>
    <w:rsid w:val="00BE7B07"/>
    <w:rsid w:val="00BF04DB"/>
    <w:rsid w:val="00BF1AD2"/>
    <w:rsid w:val="00BF3B43"/>
    <w:rsid w:val="00CC1902"/>
    <w:rsid w:val="00D00224"/>
    <w:rsid w:val="00D13C21"/>
    <w:rsid w:val="00D21E52"/>
    <w:rsid w:val="00D7148D"/>
    <w:rsid w:val="00D71AB0"/>
    <w:rsid w:val="00DA652B"/>
    <w:rsid w:val="00DD02A5"/>
    <w:rsid w:val="00DD609B"/>
    <w:rsid w:val="00DE5EBE"/>
    <w:rsid w:val="00DF4ED5"/>
    <w:rsid w:val="00DF7F01"/>
    <w:rsid w:val="00E228C9"/>
    <w:rsid w:val="00E35674"/>
    <w:rsid w:val="00E60E2D"/>
    <w:rsid w:val="00ED6B69"/>
    <w:rsid w:val="00F200B0"/>
    <w:rsid w:val="00F46B2F"/>
    <w:rsid w:val="00F81818"/>
    <w:rsid w:val="00F845C2"/>
    <w:rsid w:val="00FB7F06"/>
    <w:rsid w:val="00FD255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  <w:style w:type="paragraph" w:styleId="Odstavecseseznamem">
    <w:name w:val="List Paragraph"/>
    <w:basedOn w:val="Normln"/>
    <w:uiPriority w:val="34"/>
    <w:qFormat/>
    <w:rsid w:val="004305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  <w:style w:type="paragraph" w:styleId="Odstavecseseznamem">
    <w:name w:val="List Paragraph"/>
    <w:basedOn w:val="Normln"/>
    <w:uiPriority w:val="34"/>
    <w:qFormat/>
    <w:rsid w:val="00430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AE90E-D1A4-47C6-B288-2DC77976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4266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Microsoft</cp:lastModifiedBy>
  <cp:revision>2</cp:revision>
  <cp:lastPrinted>2011-09-20T05:23:00Z</cp:lastPrinted>
  <dcterms:created xsi:type="dcterms:W3CDTF">2019-11-05T10:55:00Z</dcterms:created>
  <dcterms:modified xsi:type="dcterms:W3CDTF">2019-11-05T10:55:00Z</dcterms:modified>
</cp:coreProperties>
</file>